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75" w:rsidRDefault="00031E42" w:rsidP="00B704F2">
      <w:pPr>
        <w:jc w:val="center"/>
        <w:rPr>
          <w:b/>
          <w:bCs/>
          <w:lang w:val="mk-MK"/>
        </w:rPr>
      </w:pPr>
      <w:r w:rsidRPr="00031E42">
        <w:rPr>
          <w:b/>
          <w:bCs/>
          <w:lang w:val="mk-MK"/>
        </w:rPr>
        <w:t>ЗБИРЕН ИЗВЕШТАЈ ЗА ОСОБИНИТЕ НА ЛЕКОТ</w:t>
      </w:r>
    </w:p>
    <w:p w:rsidR="00A87175" w:rsidRDefault="00A87175" w:rsidP="00B704F2">
      <w:pPr>
        <w:jc w:val="center"/>
        <w:rPr>
          <w:b/>
          <w:bCs/>
          <w:lang w:val="mk-MK"/>
        </w:rPr>
      </w:pPr>
    </w:p>
    <w:p w:rsidR="00A87175" w:rsidRDefault="00A87175" w:rsidP="00107FDC">
      <w:pPr>
        <w:pStyle w:val="ListParagraph"/>
        <w:numPr>
          <w:ilvl w:val="0"/>
          <w:numId w:val="1"/>
        </w:numPr>
        <w:jc w:val="left"/>
        <w:rPr>
          <w:b/>
          <w:bCs/>
          <w:lang w:val="mk-MK"/>
        </w:rPr>
      </w:pPr>
      <w:r>
        <w:rPr>
          <w:b/>
          <w:bCs/>
          <w:lang w:val="mk-MK"/>
        </w:rPr>
        <w:t>ИМЕ НА МЕДИЦИНСКИОТ ПРОИЗВОД</w:t>
      </w:r>
    </w:p>
    <w:p w:rsidR="00A87175" w:rsidRDefault="00A87175" w:rsidP="00107FDC">
      <w:pPr>
        <w:pStyle w:val="ListParagraph"/>
        <w:jc w:val="left"/>
        <w:rPr>
          <w:lang w:val="mk-MK"/>
        </w:rPr>
      </w:pPr>
      <w:r w:rsidRPr="00DF3646">
        <w:rPr>
          <w:lang w:val="en-US"/>
        </w:rPr>
        <w:t xml:space="preserve">ANGIOFLUX </w:t>
      </w:r>
      <w:r w:rsidRPr="00DF3646">
        <w:rPr>
          <w:lang w:val="mk-MK"/>
        </w:rPr>
        <w:t xml:space="preserve">250 </w:t>
      </w:r>
      <w:r w:rsidRPr="007D110C">
        <w:rPr>
          <w:lang w:val="en-US"/>
        </w:rPr>
        <w:t>LRU</w:t>
      </w:r>
      <w:r w:rsidRPr="00DF3646">
        <w:rPr>
          <w:lang w:val="mk-MK"/>
        </w:rPr>
        <w:t>МЕКИ КАПСУЛИ</w:t>
      </w:r>
    </w:p>
    <w:p w:rsidR="00A87175" w:rsidRDefault="00A87175" w:rsidP="00107FDC">
      <w:pPr>
        <w:pStyle w:val="ListParagraph"/>
        <w:jc w:val="left"/>
        <w:rPr>
          <w:lang w:val="mk-MK"/>
        </w:rPr>
      </w:pPr>
    </w:p>
    <w:p w:rsidR="00A87175" w:rsidRDefault="00A87175" w:rsidP="00DF3646">
      <w:pPr>
        <w:pStyle w:val="ListParagraph"/>
        <w:numPr>
          <w:ilvl w:val="0"/>
          <w:numId w:val="1"/>
        </w:numPr>
        <w:jc w:val="left"/>
        <w:rPr>
          <w:b/>
          <w:bCs/>
          <w:lang w:val="mk-MK"/>
        </w:rPr>
      </w:pPr>
      <w:r>
        <w:rPr>
          <w:b/>
          <w:bCs/>
          <w:lang w:val="mk-MK"/>
        </w:rPr>
        <w:t>КВАЛИТАТИВЕН И КВАНТИТАТИВЕН СОСТАВ</w:t>
      </w:r>
    </w:p>
    <w:p w:rsidR="00A87175" w:rsidRDefault="00A87175" w:rsidP="005D5D2D">
      <w:pPr>
        <w:ind w:left="360" w:firstLine="360"/>
        <w:jc w:val="left"/>
        <w:rPr>
          <w:u w:val="single"/>
          <w:lang w:val="mk-MK"/>
        </w:rPr>
      </w:pPr>
      <w:r w:rsidRPr="005D5D2D">
        <w:rPr>
          <w:u w:val="single"/>
          <w:lang w:val="en-US"/>
        </w:rPr>
        <w:t xml:space="preserve">ANGIOFLUX </w:t>
      </w:r>
      <w:r w:rsidRPr="005D5D2D">
        <w:rPr>
          <w:u w:val="single"/>
          <w:lang w:val="mk-MK"/>
        </w:rPr>
        <w:t xml:space="preserve">250 </w:t>
      </w:r>
      <w:r w:rsidRPr="007D110C">
        <w:rPr>
          <w:u w:val="single"/>
          <w:lang w:val="en-US"/>
        </w:rPr>
        <w:t>LRU</w:t>
      </w:r>
      <w:r w:rsidRPr="005D5D2D">
        <w:rPr>
          <w:u w:val="single"/>
          <w:lang w:val="mk-MK"/>
        </w:rPr>
        <w:t>МЕКИ КАПСУЛИ</w:t>
      </w:r>
    </w:p>
    <w:p w:rsidR="00A87175" w:rsidRPr="005D5D2D" w:rsidRDefault="00A87175" w:rsidP="005D5D2D">
      <w:pPr>
        <w:spacing w:after="0"/>
        <w:ind w:left="360" w:firstLine="360"/>
        <w:jc w:val="left"/>
        <w:rPr>
          <w:lang w:val="mk-MK"/>
        </w:rPr>
      </w:pPr>
      <w:r w:rsidRPr="005D5D2D">
        <w:rPr>
          <w:lang w:val="mk-MK"/>
        </w:rPr>
        <w:t>Една капсула содржи:</w:t>
      </w:r>
    </w:p>
    <w:p w:rsidR="00A87175" w:rsidRDefault="00A87175" w:rsidP="005D5D2D">
      <w:pPr>
        <w:spacing w:after="0"/>
        <w:ind w:left="360" w:firstLine="360"/>
        <w:jc w:val="left"/>
        <w:rPr>
          <w:lang w:val="mk-MK"/>
        </w:rPr>
      </w:pPr>
      <w:r w:rsidRPr="005D5D2D">
        <w:rPr>
          <w:lang w:val="mk-MK"/>
        </w:rPr>
        <w:t>Активна супстанца:</w:t>
      </w:r>
    </w:p>
    <w:p w:rsidR="00A87175" w:rsidRPr="005D5D2D" w:rsidRDefault="00411619" w:rsidP="00814462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en-US"/>
        </w:rPr>
        <w:t>Sulodexide</w:t>
      </w:r>
      <w:r w:rsidR="00A87175" w:rsidRPr="007D110C">
        <w:rPr>
          <w:lang w:val="en-US"/>
        </w:rPr>
        <w:t>LRU</w:t>
      </w:r>
      <w:r w:rsidR="00A87175">
        <w:rPr>
          <w:lang w:val="en-US"/>
        </w:rPr>
        <w:t xml:space="preserve"> 250</w:t>
      </w:r>
    </w:p>
    <w:p w:rsidR="00A87175" w:rsidRDefault="00A87175" w:rsidP="00814462">
      <w:pPr>
        <w:spacing w:line="240" w:lineRule="auto"/>
        <w:jc w:val="left"/>
        <w:rPr>
          <w:u w:val="single"/>
          <w:lang w:val="en-US"/>
        </w:rPr>
      </w:pPr>
    </w:p>
    <w:p w:rsidR="00A87175" w:rsidRDefault="00A87175" w:rsidP="00A94B58">
      <w:pPr>
        <w:ind w:left="720"/>
        <w:jc w:val="left"/>
        <w:rPr>
          <w:lang w:val="mk-MK"/>
        </w:rPr>
      </w:pPr>
      <w:r>
        <w:rPr>
          <w:lang w:val="mk-MK"/>
        </w:rPr>
        <w:t>За помошни супстанци</w:t>
      </w:r>
      <w:r w:rsidR="00BC0AF4">
        <w:rPr>
          <w:lang w:val="mk-MK"/>
        </w:rPr>
        <w:t>и</w:t>
      </w:r>
      <w:r>
        <w:rPr>
          <w:lang w:val="mk-MK"/>
        </w:rPr>
        <w:t>, види 6.1</w:t>
      </w:r>
    </w:p>
    <w:p w:rsidR="00A87175" w:rsidRDefault="00A87175" w:rsidP="00A94B58">
      <w:pPr>
        <w:pStyle w:val="ListParagraph"/>
        <w:numPr>
          <w:ilvl w:val="0"/>
          <w:numId w:val="1"/>
        </w:numPr>
        <w:jc w:val="left"/>
        <w:rPr>
          <w:b/>
          <w:bCs/>
          <w:lang w:val="mk-MK"/>
        </w:rPr>
      </w:pPr>
      <w:r>
        <w:rPr>
          <w:b/>
          <w:bCs/>
          <w:lang w:val="mk-MK"/>
        </w:rPr>
        <w:t>ФАРМАЦЕВТСКА ФОРМА</w:t>
      </w:r>
    </w:p>
    <w:p w:rsidR="00A87175" w:rsidRDefault="00A87175" w:rsidP="00814462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Меки капсули</w:t>
      </w:r>
    </w:p>
    <w:p w:rsidR="00A87175" w:rsidRDefault="00A87175" w:rsidP="00A94B58">
      <w:pPr>
        <w:spacing w:after="0"/>
        <w:jc w:val="left"/>
        <w:rPr>
          <w:lang w:val="mk-MK"/>
        </w:rPr>
      </w:pPr>
    </w:p>
    <w:p w:rsidR="00A87175" w:rsidRDefault="00A87175" w:rsidP="00A94B58">
      <w:pPr>
        <w:pStyle w:val="ListParagraph"/>
        <w:numPr>
          <w:ilvl w:val="0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lang w:val="mk-MK"/>
        </w:rPr>
        <w:t>КЛИНИЧКИ ИНФОРМАЦИИ</w:t>
      </w:r>
    </w:p>
    <w:p w:rsidR="00A87175" w:rsidRPr="00BF48B7" w:rsidRDefault="00A87175" w:rsidP="00BF48B7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u w:val="single"/>
          <w:lang w:val="mk-MK"/>
        </w:rPr>
      </w:pPr>
      <w:r w:rsidRPr="00BF48B7">
        <w:rPr>
          <w:b/>
          <w:bCs/>
          <w:u w:val="single"/>
          <w:lang w:val="mk-MK"/>
        </w:rPr>
        <w:t>Терапевтски индикации</w:t>
      </w:r>
    </w:p>
    <w:p w:rsidR="00A87175" w:rsidRDefault="00A87175" w:rsidP="00BF48B7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 xml:space="preserve">Хронични венозни </w:t>
      </w:r>
      <w:r w:rsidRPr="00740CF1">
        <w:rPr>
          <w:lang w:val="mk-MK"/>
        </w:rPr>
        <w:t>улцери</w:t>
      </w:r>
    </w:p>
    <w:p w:rsidR="00A87175" w:rsidRDefault="00A87175" w:rsidP="00BF48B7">
      <w:pPr>
        <w:pStyle w:val="ListParagraph"/>
        <w:spacing w:after="0"/>
        <w:ind w:left="1080"/>
        <w:jc w:val="left"/>
        <w:rPr>
          <w:lang w:val="mk-MK"/>
        </w:rPr>
      </w:pPr>
    </w:p>
    <w:p w:rsidR="00A87175" w:rsidRDefault="00A87175" w:rsidP="00BF48B7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u w:val="single"/>
          <w:lang w:val="mk-MK"/>
        </w:rPr>
      </w:pPr>
      <w:r w:rsidRPr="00BF48B7">
        <w:rPr>
          <w:b/>
          <w:bCs/>
          <w:u w:val="single"/>
          <w:lang w:val="mk-MK"/>
        </w:rPr>
        <w:t>Дозирање и метод на администрација</w:t>
      </w:r>
    </w:p>
    <w:p w:rsidR="00A87175" w:rsidRDefault="00A87175" w:rsidP="00BF48B7">
      <w:pPr>
        <w:pStyle w:val="ListParagraph"/>
        <w:spacing w:after="0"/>
        <w:ind w:left="1080"/>
        <w:jc w:val="left"/>
        <w:rPr>
          <w:lang w:val="mk-MK"/>
        </w:rPr>
      </w:pPr>
      <w:r>
        <w:rPr>
          <w:u w:val="single"/>
          <w:lang w:val="mk-MK"/>
        </w:rPr>
        <w:t xml:space="preserve">Меки капсули: </w:t>
      </w:r>
      <w:r w:rsidR="00BC0AF4">
        <w:rPr>
          <w:lang w:val="mk-MK"/>
        </w:rPr>
        <w:t xml:space="preserve">1 капсула </w:t>
      </w:r>
      <w:r w:rsidR="007E7B8F">
        <w:rPr>
          <w:lang w:val="mk-MK"/>
        </w:rPr>
        <w:t>2</w:t>
      </w:r>
      <w:r>
        <w:rPr>
          <w:lang w:val="mk-MK"/>
        </w:rPr>
        <w:t>пати дневно, помеѓу оброци на гладно.</w:t>
      </w:r>
    </w:p>
    <w:p w:rsidR="00A87175" w:rsidRDefault="00A87175" w:rsidP="00BF48B7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Препорачуваме да се започне со терапијата најпрвин со вијалите, а по 15-20 дена, да се продолжи со капсулите следните 30-40 дена.</w:t>
      </w:r>
    </w:p>
    <w:p w:rsidR="00A87175" w:rsidRDefault="00A87175" w:rsidP="00A12A1A">
      <w:pPr>
        <w:pStyle w:val="ListParagraph"/>
        <w:spacing w:after="0"/>
        <w:ind w:left="1080"/>
        <w:jc w:val="left"/>
        <w:rPr>
          <w:lang w:val="en-US"/>
        </w:rPr>
      </w:pPr>
      <w:r>
        <w:rPr>
          <w:lang w:val="mk-MK"/>
        </w:rPr>
        <w:t xml:space="preserve">Целосниот терапевтски циклус треба да се практикува најмалку двапати годишно. </w:t>
      </w:r>
      <w:r w:rsidRPr="00375110">
        <w:rPr>
          <w:lang w:val="mk-MK"/>
        </w:rPr>
        <w:t>Количината и времето</w:t>
      </w:r>
      <w:r>
        <w:rPr>
          <w:lang w:val="mk-MK"/>
        </w:rPr>
        <w:t xml:space="preserve"> на дозирање може да се разликува, во зависност од мислењето на докторот</w:t>
      </w:r>
      <w:r>
        <w:rPr>
          <w:lang w:val="en-US"/>
        </w:rPr>
        <w:t>.</w:t>
      </w:r>
    </w:p>
    <w:p w:rsidR="00A87175" w:rsidRPr="00A12A1A" w:rsidRDefault="00A87175" w:rsidP="00A12A1A">
      <w:pPr>
        <w:spacing w:after="0"/>
        <w:jc w:val="left"/>
        <w:rPr>
          <w:b/>
          <w:bCs/>
          <w:lang w:val="en-US"/>
        </w:rPr>
      </w:pPr>
    </w:p>
    <w:p w:rsidR="00A87175" w:rsidRPr="00A12A1A" w:rsidRDefault="00A87175" w:rsidP="00A12A1A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en-US"/>
        </w:rPr>
      </w:pPr>
      <w:r>
        <w:rPr>
          <w:b/>
          <w:bCs/>
          <w:u w:val="single"/>
          <w:lang w:val="mk-MK"/>
        </w:rPr>
        <w:t>Контраиндикации</w:t>
      </w:r>
    </w:p>
    <w:p w:rsidR="00A87175" w:rsidRDefault="00A87175" w:rsidP="00A12A1A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Хиперсензитивност на главната супстанца или на некоја од помошните.</w:t>
      </w:r>
    </w:p>
    <w:p w:rsidR="00A87175" w:rsidRDefault="00A87175" w:rsidP="00A12A1A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 xml:space="preserve">Бидејќи молекуларната структура е слична на хепаринот, </w:t>
      </w:r>
      <w:r>
        <w:rPr>
          <w:lang w:val="en-US"/>
        </w:rPr>
        <w:t xml:space="preserve">ANGIOFLUX </w:t>
      </w:r>
      <w:r>
        <w:rPr>
          <w:lang w:val="mk-MK"/>
        </w:rPr>
        <w:t>не треба да се дава на пациенти кои се хиперсензитивни на хепарини</w:t>
      </w:r>
      <w:r w:rsidR="003D35F3">
        <w:rPr>
          <w:lang w:val="mk-MK"/>
        </w:rPr>
        <w:t>и</w:t>
      </w:r>
      <w:r>
        <w:rPr>
          <w:lang w:val="mk-MK"/>
        </w:rPr>
        <w:t xml:space="preserve"> хепариноиди. Хеморагична диатеза.</w:t>
      </w:r>
    </w:p>
    <w:p w:rsidR="00A87175" w:rsidRDefault="00A87175" w:rsidP="00FD5A65">
      <w:pPr>
        <w:spacing w:after="0"/>
        <w:jc w:val="left"/>
        <w:rPr>
          <w:lang w:val="mk-MK"/>
        </w:rPr>
      </w:pPr>
    </w:p>
    <w:p w:rsidR="00A87175" w:rsidRPr="00FD5A65" w:rsidRDefault="00A87175" w:rsidP="00FD5A65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t>Посебни предупредувања и внимателност при употреба</w:t>
      </w:r>
    </w:p>
    <w:p w:rsidR="00A87175" w:rsidRDefault="00A87175" w:rsidP="00FD5A65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 xml:space="preserve">Пациентите треба да се консултираат со нивните доктори во врска </w:t>
      </w:r>
      <w:r w:rsidR="007E7B8F">
        <w:rPr>
          <w:lang w:val="mk-MK"/>
        </w:rPr>
        <w:t xml:space="preserve">со </w:t>
      </w:r>
      <w:r>
        <w:rPr>
          <w:lang w:val="mk-MK"/>
        </w:rPr>
        <w:t>инструкциите за правилна употреба на лекот.</w:t>
      </w:r>
    </w:p>
    <w:p w:rsidR="00A87175" w:rsidRDefault="00A87175" w:rsidP="00FD5A65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lastRenderedPageBreak/>
        <w:t>Во сите случаи на терапија со антикоагуланти, препорачуваме периодична контрола на параметрите на хемокоагулација.</w:t>
      </w:r>
    </w:p>
    <w:p w:rsidR="00A87175" w:rsidRDefault="00A87175" w:rsidP="00D21AA5">
      <w:pPr>
        <w:spacing w:after="0"/>
        <w:jc w:val="left"/>
        <w:rPr>
          <w:lang w:val="mk-MK"/>
        </w:rPr>
      </w:pPr>
    </w:p>
    <w:p w:rsidR="00A87175" w:rsidRPr="00D21AA5" w:rsidRDefault="00A87175" w:rsidP="00D21AA5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t>Интеракци</w:t>
      </w:r>
      <w:r w:rsidR="00031E42">
        <w:rPr>
          <w:b/>
          <w:bCs/>
          <w:u w:val="single"/>
          <w:lang w:val="mk-MK"/>
        </w:rPr>
        <w:t>и</w:t>
      </w:r>
      <w:r>
        <w:rPr>
          <w:b/>
          <w:bCs/>
          <w:u w:val="single"/>
          <w:lang w:val="mk-MK"/>
        </w:rPr>
        <w:t xml:space="preserve"> со други лекови и други форми на интеракција</w:t>
      </w:r>
    </w:p>
    <w:p w:rsidR="00A87175" w:rsidRDefault="00A87175" w:rsidP="00D21AA5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Бидејќи сулодексидот има слична молекула со хепаринот, тој може да ги зголеми ефектите на антикоагулација од хепаринот, како и на оралните антикоагуланти доколку се земаат истовремено.</w:t>
      </w:r>
    </w:p>
    <w:p w:rsidR="00A87175" w:rsidRDefault="00A87175" w:rsidP="00D21AA5">
      <w:pPr>
        <w:spacing w:after="0"/>
        <w:jc w:val="left"/>
        <w:rPr>
          <w:lang w:val="mk-MK"/>
        </w:rPr>
      </w:pPr>
    </w:p>
    <w:p w:rsidR="00A87175" w:rsidRPr="00D21AA5" w:rsidRDefault="00A87175" w:rsidP="00D21AA5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t>Бременост и доење</w:t>
      </w:r>
    </w:p>
    <w:p w:rsidR="00A87175" w:rsidRDefault="00A87175" w:rsidP="00D21AA5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 xml:space="preserve">Кај бремените жени и раната бременост, производот треба да се дава во случај на ефективна потреба, и тоа по директен надзор од </w:t>
      </w:r>
      <w:r w:rsidR="00195751">
        <w:rPr>
          <w:lang w:val="mk-MK"/>
        </w:rPr>
        <w:t>лекар</w:t>
      </w:r>
      <w:r>
        <w:rPr>
          <w:lang w:val="mk-MK"/>
        </w:rPr>
        <w:t>.</w:t>
      </w:r>
    </w:p>
    <w:p w:rsidR="00A87175" w:rsidRDefault="00A87175" w:rsidP="00D21AA5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Од претпазливи причини, се препорачува лекот да не се користи за време на бременоста, дури иако студиите за фетална токсичност не покажале никакви ембрио-фетусни токсични последици.</w:t>
      </w:r>
    </w:p>
    <w:p w:rsidR="00A87175" w:rsidRDefault="00A87175" w:rsidP="00D21AA5">
      <w:pPr>
        <w:spacing w:after="0"/>
        <w:jc w:val="left"/>
        <w:rPr>
          <w:lang w:val="mk-MK"/>
        </w:rPr>
      </w:pPr>
    </w:p>
    <w:p w:rsidR="00A87175" w:rsidRPr="00D21AA5" w:rsidRDefault="00A87175" w:rsidP="00D21AA5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t>Влијание врз способноста за управување со возила и други машини</w:t>
      </w:r>
    </w:p>
    <w:p w:rsidR="00A87175" w:rsidRDefault="00A87175" w:rsidP="00D21AA5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en-US"/>
        </w:rPr>
        <w:t xml:space="preserve">ANGIOFLUX </w:t>
      </w:r>
      <w:r>
        <w:rPr>
          <w:lang w:val="mk-MK"/>
        </w:rPr>
        <w:t>не влијае врз способноста за управување со возила или други машини.</w:t>
      </w:r>
    </w:p>
    <w:p w:rsidR="00A87175" w:rsidRDefault="00A87175" w:rsidP="00D21AA5">
      <w:pPr>
        <w:spacing w:after="0"/>
        <w:jc w:val="left"/>
        <w:rPr>
          <w:lang w:val="mk-MK"/>
        </w:rPr>
      </w:pPr>
    </w:p>
    <w:p w:rsidR="00A87175" w:rsidRPr="00074A3C" w:rsidRDefault="00A87175" w:rsidP="00D21AA5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t>Несакани дејства</w:t>
      </w:r>
    </w:p>
    <w:p w:rsidR="00A87175" w:rsidRDefault="00814462" w:rsidP="00074A3C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 xml:space="preserve">Повремени случаи на </w:t>
      </w:r>
      <w:bookmarkStart w:id="0" w:name="_GoBack"/>
      <w:bookmarkEnd w:id="0"/>
      <w:r w:rsidR="00A87175">
        <w:rPr>
          <w:lang w:val="mk-MK"/>
        </w:rPr>
        <w:t>п</w:t>
      </w:r>
      <w:r w:rsidR="00AE2BAE">
        <w:rPr>
          <w:lang w:val="mk-MK"/>
        </w:rPr>
        <w:t>опречување во работата на гастои</w:t>
      </w:r>
      <w:r w:rsidR="00A87175">
        <w:rPr>
          <w:lang w:val="mk-MK"/>
        </w:rPr>
        <w:t>нтестиналниот систем, повраќање и епигастралгија.</w:t>
      </w:r>
    </w:p>
    <w:p w:rsidR="00A87175" w:rsidRDefault="00A87175" w:rsidP="00074A3C">
      <w:pPr>
        <w:spacing w:after="0"/>
        <w:jc w:val="left"/>
        <w:rPr>
          <w:lang w:val="mk-MK"/>
        </w:rPr>
      </w:pPr>
    </w:p>
    <w:p w:rsidR="00A87175" w:rsidRPr="00074A3C" w:rsidRDefault="00A87175" w:rsidP="00074A3C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t>Предозирање</w:t>
      </w:r>
    </w:p>
    <w:p w:rsidR="00A87175" w:rsidRDefault="00A87175" w:rsidP="00074A3C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 xml:space="preserve">Единствениот ефект од предозирањето е </w:t>
      </w:r>
      <w:r w:rsidR="00AE2BAE">
        <w:rPr>
          <w:lang w:val="mk-MK"/>
        </w:rPr>
        <w:t>хеморагија</w:t>
      </w:r>
      <w:r>
        <w:rPr>
          <w:lang w:val="mk-MK"/>
        </w:rPr>
        <w:t xml:space="preserve">. Доколку се појави, неопходно е да се инјектира 1% </w:t>
      </w:r>
      <w:r>
        <w:rPr>
          <w:lang w:val="en-US"/>
        </w:rPr>
        <w:t xml:space="preserve">Protamine </w:t>
      </w:r>
      <w:r>
        <w:rPr>
          <w:lang w:val="mk-MK"/>
        </w:rPr>
        <w:t>(</w:t>
      </w:r>
      <w:r>
        <w:rPr>
          <w:lang w:val="en-US"/>
        </w:rPr>
        <w:t xml:space="preserve">3 ml i.v. = 30 mg) </w:t>
      </w:r>
      <w:r>
        <w:rPr>
          <w:lang w:val="mk-MK"/>
        </w:rPr>
        <w:t>како што е пропишано за случаите на ,,хепаринска хеморагија’’.</w:t>
      </w:r>
    </w:p>
    <w:p w:rsidR="00A87175" w:rsidRDefault="00A87175" w:rsidP="00074A3C">
      <w:pPr>
        <w:pStyle w:val="ListParagraph"/>
        <w:spacing w:after="0"/>
        <w:ind w:left="1080"/>
        <w:jc w:val="left"/>
        <w:rPr>
          <w:lang w:val="mk-MK"/>
        </w:rPr>
      </w:pPr>
    </w:p>
    <w:p w:rsidR="00A87175" w:rsidRDefault="00A87175" w:rsidP="00074A3C">
      <w:pPr>
        <w:spacing w:after="0"/>
        <w:jc w:val="left"/>
        <w:rPr>
          <w:lang w:val="mk-MK"/>
        </w:rPr>
      </w:pPr>
    </w:p>
    <w:p w:rsidR="00A87175" w:rsidRDefault="00A87175" w:rsidP="00074A3C">
      <w:pPr>
        <w:pStyle w:val="ListParagraph"/>
        <w:numPr>
          <w:ilvl w:val="0"/>
          <w:numId w:val="1"/>
        </w:numPr>
        <w:spacing w:after="0"/>
        <w:ind w:left="1134" w:hanging="774"/>
        <w:jc w:val="left"/>
        <w:rPr>
          <w:b/>
          <w:bCs/>
          <w:lang w:val="mk-MK"/>
        </w:rPr>
      </w:pPr>
      <w:r>
        <w:rPr>
          <w:b/>
          <w:bCs/>
          <w:lang w:val="mk-MK"/>
        </w:rPr>
        <w:t>ФАРМАКОЛОШКИ СВОЈСТВА</w:t>
      </w:r>
    </w:p>
    <w:p w:rsidR="00A87175" w:rsidRDefault="00A87175" w:rsidP="008320A7">
      <w:pPr>
        <w:pStyle w:val="ListParagraph"/>
        <w:spacing w:after="0"/>
        <w:ind w:left="1134"/>
        <w:jc w:val="left"/>
        <w:rPr>
          <w:b/>
          <w:bCs/>
          <w:lang w:val="mk-MK"/>
        </w:rPr>
      </w:pPr>
    </w:p>
    <w:p w:rsidR="00A87175" w:rsidRPr="008320A7" w:rsidRDefault="009E7C40" w:rsidP="00074A3C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t>Фармакодинамс</w:t>
      </w:r>
      <w:r w:rsidR="00A87175">
        <w:rPr>
          <w:b/>
          <w:bCs/>
          <w:u w:val="single"/>
          <w:lang w:val="mk-MK"/>
        </w:rPr>
        <w:t>ки својства</w:t>
      </w:r>
    </w:p>
    <w:p w:rsidR="00A87175" w:rsidRDefault="00A87175" w:rsidP="008320A7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 xml:space="preserve">Фармакотерапевтска </w:t>
      </w:r>
      <w:r w:rsidR="009E7C40">
        <w:rPr>
          <w:lang w:val="mk-MK"/>
        </w:rPr>
        <w:t>група</w:t>
      </w:r>
      <w:r>
        <w:rPr>
          <w:lang w:val="mk-MK"/>
        </w:rPr>
        <w:t>: Антитромб</w:t>
      </w:r>
      <w:r w:rsidR="009E7C40">
        <w:rPr>
          <w:lang w:val="mk-MK"/>
        </w:rPr>
        <w:t>отична</w:t>
      </w:r>
      <w:r>
        <w:rPr>
          <w:lang w:val="mk-MK"/>
        </w:rPr>
        <w:t xml:space="preserve">/Хепаринска, </w:t>
      </w:r>
    </w:p>
    <w:p w:rsidR="00A87175" w:rsidRDefault="00AB2BB7" w:rsidP="008320A7">
      <w:pPr>
        <w:pStyle w:val="ListParagraph"/>
        <w:spacing w:after="0"/>
        <w:ind w:left="1080"/>
        <w:jc w:val="left"/>
        <w:rPr>
          <w:lang w:val="en-US"/>
        </w:rPr>
      </w:pPr>
      <w:r>
        <w:rPr>
          <w:lang w:val="mk-MK"/>
        </w:rPr>
        <w:t xml:space="preserve">АТЦ </w:t>
      </w:r>
      <w:r w:rsidR="00A87175">
        <w:rPr>
          <w:lang w:val="mk-MK"/>
        </w:rPr>
        <w:t xml:space="preserve">Код: </w:t>
      </w:r>
      <w:r w:rsidR="00A87175">
        <w:rPr>
          <w:lang w:val="en-US"/>
        </w:rPr>
        <w:t>B01AB11</w:t>
      </w:r>
    </w:p>
    <w:p w:rsidR="00A87175" w:rsidRDefault="00A87175" w:rsidP="008320A7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 xml:space="preserve">Механизам на делување: </w:t>
      </w:r>
    </w:p>
    <w:p w:rsidR="00A87175" w:rsidRDefault="00A87175" w:rsidP="008320A7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Механизмот на делување зависи од комплементарната работа на состојките: лекот покажува антитромб</w:t>
      </w:r>
      <w:r w:rsidR="003D35F3">
        <w:rPr>
          <w:lang w:val="mk-MK"/>
        </w:rPr>
        <w:t>отич</w:t>
      </w:r>
      <w:r w:rsidR="009E7C40">
        <w:rPr>
          <w:lang w:val="mk-MK"/>
        </w:rPr>
        <w:t>ното</w:t>
      </w:r>
      <w:r>
        <w:rPr>
          <w:lang w:val="mk-MK"/>
        </w:rPr>
        <w:t xml:space="preserve"> де</w:t>
      </w:r>
      <w:r w:rsidR="00AB2BB7">
        <w:rPr>
          <w:lang w:val="mk-MK"/>
        </w:rPr>
        <w:t>јство</w:t>
      </w:r>
      <w:r>
        <w:rPr>
          <w:lang w:val="mk-MK"/>
        </w:rPr>
        <w:t xml:space="preserve"> главно заради инхибицијата на активираниот фактор на коагулација (Х). Тој исто така ја намалува вискозност</w:t>
      </w:r>
      <w:r w:rsidR="003D35F3">
        <w:rPr>
          <w:lang w:val="mk-MK"/>
        </w:rPr>
        <w:t xml:space="preserve"> на крвта</w:t>
      </w:r>
      <w:r>
        <w:rPr>
          <w:lang w:val="mk-MK"/>
        </w:rPr>
        <w:t>, има фибрин</w:t>
      </w:r>
      <w:r w:rsidR="003A23EF">
        <w:rPr>
          <w:lang w:val="mk-MK"/>
        </w:rPr>
        <w:t>о</w:t>
      </w:r>
      <w:r>
        <w:rPr>
          <w:lang w:val="mk-MK"/>
        </w:rPr>
        <w:t xml:space="preserve">литичен ефект како резултат на ослободувањето на </w:t>
      </w:r>
      <w:r w:rsidR="003D35F3">
        <w:rPr>
          <w:lang w:val="mk-MK"/>
        </w:rPr>
        <w:t xml:space="preserve">ткивниот </w:t>
      </w:r>
      <w:r>
        <w:rPr>
          <w:lang w:val="mk-MK"/>
        </w:rPr>
        <w:t>плазминоген активатор од ѕидот на крвните садови (</w:t>
      </w:r>
      <w:r>
        <w:rPr>
          <w:lang w:val="en-US"/>
        </w:rPr>
        <w:t xml:space="preserve">t-PA) </w:t>
      </w:r>
      <w:r w:rsidR="009E7C40">
        <w:rPr>
          <w:lang w:val="mk-MK"/>
        </w:rPr>
        <w:t xml:space="preserve">и го намалува </w:t>
      </w:r>
      <w:r>
        <w:rPr>
          <w:lang w:val="mk-MK"/>
        </w:rPr>
        <w:t>ниво</w:t>
      </w:r>
      <w:r w:rsidR="009E7C40">
        <w:rPr>
          <w:lang w:val="mk-MK"/>
        </w:rPr>
        <w:t>то</w:t>
      </w:r>
      <w:r>
        <w:rPr>
          <w:lang w:val="mk-MK"/>
        </w:rPr>
        <w:t xml:space="preserve"> на </w:t>
      </w:r>
      <w:r w:rsidR="00AB2BB7" w:rsidRPr="00AB2BB7">
        <w:rPr>
          <w:lang w:val="mk-MK"/>
        </w:rPr>
        <w:t>плазминоген активатор инхибитор</w:t>
      </w:r>
      <w:r>
        <w:rPr>
          <w:lang w:val="mk-MK"/>
        </w:rPr>
        <w:t xml:space="preserve"> (</w:t>
      </w:r>
      <w:r>
        <w:rPr>
          <w:lang w:val="en-US"/>
        </w:rPr>
        <w:t>PAI</w:t>
      </w:r>
      <w:r>
        <w:rPr>
          <w:lang w:val="mk-MK"/>
        </w:rPr>
        <w:t>)</w:t>
      </w:r>
      <w:r w:rsidR="009E7C40">
        <w:rPr>
          <w:lang w:val="mk-MK"/>
        </w:rPr>
        <w:t xml:space="preserve"> во крвта</w:t>
      </w:r>
      <w:r>
        <w:rPr>
          <w:lang w:val="mk-MK"/>
        </w:rPr>
        <w:t>.</w:t>
      </w:r>
    </w:p>
    <w:p w:rsidR="00A87175" w:rsidRDefault="00A87175" w:rsidP="00E60B4B">
      <w:pPr>
        <w:spacing w:after="0"/>
        <w:jc w:val="left"/>
        <w:rPr>
          <w:lang w:val="mk-MK"/>
        </w:rPr>
      </w:pPr>
    </w:p>
    <w:p w:rsidR="00A87175" w:rsidRPr="00E60B4B" w:rsidRDefault="00A87175" w:rsidP="00E60B4B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lastRenderedPageBreak/>
        <w:t>Фармакокинет</w:t>
      </w:r>
      <w:r w:rsidR="009E7C40">
        <w:rPr>
          <w:b/>
          <w:bCs/>
          <w:u w:val="single"/>
          <w:lang w:val="mk-MK"/>
        </w:rPr>
        <w:t>с</w:t>
      </w:r>
      <w:r>
        <w:rPr>
          <w:b/>
          <w:bCs/>
          <w:u w:val="single"/>
          <w:lang w:val="mk-MK"/>
        </w:rPr>
        <w:t>ки својства</w:t>
      </w:r>
    </w:p>
    <w:p w:rsidR="00A87175" w:rsidRDefault="005C1A8E" w:rsidP="00E60B4B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П</w:t>
      </w:r>
      <w:r w:rsidR="00A87175">
        <w:rPr>
          <w:lang w:val="mk-MK"/>
        </w:rPr>
        <w:t xml:space="preserve">лазматската кинетика на сулодексидот </w:t>
      </w:r>
      <w:r>
        <w:rPr>
          <w:lang w:val="mk-MK"/>
        </w:rPr>
        <w:t xml:space="preserve">со години </w:t>
      </w:r>
      <w:r w:rsidR="00A87175">
        <w:rPr>
          <w:lang w:val="mk-MK"/>
        </w:rPr>
        <w:t>е истражувана во студии со стаорци во однос на методите на администрација предвидени за терапија; со други зборови, парентерална и орална администрација. Парентералната администрација на сулодексидот покажала дека се карактеризира со фаза на брза дистрибуција до органите и ткивата и со сукцесивна двофазна елиминација според</w:t>
      </w:r>
      <w:r w:rsidR="00AB2BB7">
        <w:rPr>
          <w:lang w:val="mk-MK"/>
        </w:rPr>
        <w:t xml:space="preserve"> критериумот на двоен-</w:t>
      </w:r>
      <w:r w:rsidR="008A6E71">
        <w:rPr>
          <w:lang w:val="mk-MK"/>
        </w:rPr>
        <w:t>компартмент</w:t>
      </w:r>
    </w:p>
    <w:p w:rsidR="00A87175" w:rsidRDefault="00A87175" w:rsidP="00E60B4B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При орална администрација, апсорпцијата се покажала како</w:t>
      </w:r>
      <w:r w:rsidR="00DA1561">
        <w:rPr>
          <w:lang w:val="mk-MK"/>
        </w:rPr>
        <w:t xml:space="preserve"> постепена</w:t>
      </w:r>
      <w:r w:rsidR="005C1A8E">
        <w:rPr>
          <w:lang w:val="mk-MK"/>
        </w:rPr>
        <w:t xml:space="preserve">и  </w:t>
      </w:r>
      <w:r>
        <w:rPr>
          <w:lang w:val="mk-MK"/>
        </w:rPr>
        <w:t>помалку брза, со максимална концентрација</w:t>
      </w:r>
      <w:r w:rsidR="005C1A8E">
        <w:rPr>
          <w:lang w:val="mk-MK"/>
        </w:rPr>
        <w:t xml:space="preserve"> во крвта</w:t>
      </w:r>
      <w:r>
        <w:rPr>
          <w:lang w:val="mk-MK"/>
        </w:rPr>
        <w:t xml:space="preserve"> по 60</w:t>
      </w:r>
      <w:r w:rsidR="00035482">
        <w:rPr>
          <w:lang w:val="mk-MK"/>
        </w:rPr>
        <w:t>минути</w:t>
      </w:r>
      <w:r>
        <w:rPr>
          <w:lang w:val="mk-MK"/>
        </w:rPr>
        <w:t xml:space="preserve"> наместо по 5-15</w:t>
      </w:r>
      <w:r w:rsidR="00035482">
        <w:rPr>
          <w:lang w:val="mk-MK"/>
        </w:rPr>
        <w:t xml:space="preserve"> минути</w:t>
      </w:r>
      <w:r>
        <w:rPr>
          <w:lang w:val="mk-MK"/>
        </w:rPr>
        <w:t xml:space="preserve">. Кинетиката на орална администрација </w:t>
      </w:r>
      <w:r w:rsidR="00C6389B">
        <w:rPr>
          <w:lang w:val="mk-MK"/>
        </w:rPr>
        <w:t xml:space="preserve">може да се интерпретира со </w:t>
      </w:r>
      <w:r w:rsidR="00DA1561">
        <w:rPr>
          <w:lang w:val="mk-MK"/>
        </w:rPr>
        <w:t>моно</w:t>
      </w:r>
      <w:r w:rsidR="00C6389B">
        <w:rPr>
          <w:lang w:val="mk-MK"/>
        </w:rPr>
        <w:t>-</w:t>
      </w:r>
      <w:r w:rsidR="008A6E71">
        <w:rPr>
          <w:lang w:val="mk-MK"/>
        </w:rPr>
        <w:t>компартмент</w:t>
      </w:r>
      <w:r w:rsidR="00DA1561">
        <w:rPr>
          <w:lang w:val="mk-MK"/>
        </w:rPr>
        <w:t>алниот модел</w:t>
      </w:r>
      <w:r>
        <w:rPr>
          <w:lang w:val="mk-MK"/>
        </w:rPr>
        <w:t xml:space="preserve">. Врз основа на </w:t>
      </w:r>
      <w:r w:rsidR="00C6389B">
        <w:rPr>
          <w:lang w:val="mk-MK"/>
        </w:rPr>
        <w:t>соодветната</w:t>
      </w:r>
      <w:r w:rsidRPr="00375110">
        <w:rPr>
          <w:lang w:val="en-US"/>
        </w:rPr>
        <w:t>AUC</w:t>
      </w:r>
      <w:r>
        <w:rPr>
          <w:lang w:val="mk-MK"/>
        </w:rPr>
        <w:t>, био</w:t>
      </w:r>
      <w:r w:rsidR="00C6389B">
        <w:rPr>
          <w:lang w:val="mk-MK"/>
        </w:rPr>
        <w:t>расп</w:t>
      </w:r>
      <w:r w:rsidR="00DA1561">
        <w:rPr>
          <w:lang w:val="mk-MK"/>
        </w:rPr>
        <w:t>о</w:t>
      </w:r>
      <w:r w:rsidR="00C6389B">
        <w:rPr>
          <w:lang w:val="mk-MK"/>
        </w:rPr>
        <w:t xml:space="preserve">ложивоста </w:t>
      </w:r>
      <w:r>
        <w:rPr>
          <w:lang w:val="mk-MK"/>
        </w:rPr>
        <w:t xml:space="preserve">на Сулодексидот земен орално се докажала дека е во просек 50% од </w:t>
      </w:r>
      <w:r w:rsidR="007742E2">
        <w:rPr>
          <w:lang w:val="mk-MK"/>
        </w:rPr>
        <w:t xml:space="preserve">таа на </w:t>
      </w:r>
      <w:r>
        <w:rPr>
          <w:lang w:val="mk-MK"/>
        </w:rPr>
        <w:t xml:space="preserve">интрамускулната администрација. </w:t>
      </w:r>
      <w:r w:rsidR="00C6389B">
        <w:rPr>
          <w:lang w:val="mk-MK"/>
        </w:rPr>
        <w:t>С</w:t>
      </w:r>
      <w:r>
        <w:rPr>
          <w:lang w:val="mk-MK"/>
        </w:rPr>
        <w:t xml:space="preserve">улодексидот главно се </w:t>
      </w:r>
      <w:r w:rsidR="00C6389B">
        <w:rPr>
          <w:lang w:val="mk-MK"/>
        </w:rPr>
        <w:t xml:space="preserve">излачува </w:t>
      </w:r>
      <w:r>
        <w:rPr>
          <w:lang w:val="mk-MK"/>
        </w:rPr>
        <w:t>преку урината. Минималното заздравување во првите 24 часа одговара на околу 50%, а по 48 часа достигнува до 67%.</w:t>
      </w:r>
    </w:p>
    <w:p w:rsidR="00A87175" w:rsidRDefault="00A87175" w:rsidP="001303D5">
      <w:pPr>
        <w:spacing w:after="0"/>
        <w:jc w:val="left"/>
        <w:rPr>
          <w:lang w:val="mk-MK"/>
        </w:rPr>
      </w:pPr>
    </w:p>
    <w:p w:rsidR="00A87175" w:rsidRPr="001303D5" w:rsidRDefault="00A87175" w:rsidP="001303D5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t>Претклинички податоци за безбедност</w:t>
      </w:r>
    </w:p>
    <w:p w:rsidR="00A87175" w:rsidRDefault="00A87175" w:rsidP="00747C39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 xml:space="preserve">Претклиничките податоци за безбедност покажуваат остсуство на ризик врз луѓето врз основа на конвенционални </w:t>
      </w:r>
      <w:r w:rsidR="00C6389B">
        <w:rPr>
          <w:lang w:val="mk-MK"/>
        </w:rPr>
        <w:t xml:space="preserve">фармаколошки </w:t>
      </w:r>
      <w:r>
        <w:rPr>
          <w:lang w:val="mk-MK"/>
        </w:rPr>
        <w:t>студии за безбедност: токсичност од повтор</w:t>
      </w:r>
      <w:r w:rsidR="00297A56">
        <w:rPr>
          <w:lang w:val="mk-MK"/>
        </w:rPr>
        <w:t xml:space="preserve">увана </w:t>
      </w:r>
      <w:r>
        <w:rPr>
          <w:lang w:val="mk-MK"/>
        </w:rPr>
        <w:t>администа</w:t>
      </w:r>
      <w:r w:rsidR="00297A56">
        <w:rPr>
          <w:lang w:val="mk-MK"/>
        </w:rPr>
        <w:t xml:space="preserve">ција, </w:t>
      </w:r>
      <w:r>
        <w:rPr>
          <w:lang w:val="mk-MK"/>
        </w:rPr>
        <w:t xml:space="preserve"> генотоксичност, канцероген потенцијал, студии за </w:t>
      </w:r>
      <w:r w:rsidR="00297A56">
        <w:rPr>
          <w:lang w:val="mk-MK"/>
        </w:rPr>
        <w:t xml:space="preserve">репродуктивна </w:t>
      </w:r>
      <w:r>
        <w:rPr>
          <w:lang w:val="mk-MK"/>
        </w:rPr>
        <w:t>токсичност.</w:t>
      </w:r>
    </w:p>
    <w:p w:rsidR="00A87175" w:rsidRDefault="00A87175" w:rsidP="00747C39">
      <w:pPr>
        <w:spacing w:after="0"/>
        <w:jc w:val="left"/>
        <w:rPr>
          <w:lang w:val="mk-MK"/>
        </w:rPr>
      </w:pPr>
    </w:p>
    <w:p w:rsidR="00A87175" w:rsidRDefault="00A87175" w:rsidP="00747C39">
      <w:pPr>
        <w:pStyle w:val="ListParagraph"/>
        <w:numPr>
          <w:ilvl w:val="0"/>
          <w:numId w:val="1"/>
        </w:numPr>
        <w:spacing w:after="0"/>
        <w:ind w:left="1134" w:hanging="774"/>
        <w:jc w:val="left"/>
        <w:rPr>
          <w:b/>
          <w:bCs/>
          <w:lang w:val="mk-MK"/>
        </w:rPr>
      </w:pPr>
      <w:r>
        <w:rPr>
          <w:b/>
          <w:bCs/>
          <w:lang w:val="mk-MK"/>
        </w:rPr>
        <w:t>ФАРМАЦЕВТСКИ ИНФОРМАЦИИ</w:t>
      </w:r>
    </w:p>
    <w:p w:rsidR="00A87175" w:rsidRDefault="00A87175" w:rsidP="00747C39">
      <w:pPr>
        <w:spacing w:after="0"/>
        <w:jc w:val="left"/>
        <w:rPr>
          <w:b/>
          <w:bCs/>
          <w:lang w:val="mk-MK"/>
        </w:rPr>
      </w:pPr>
    </w:p>
    <w:p w:rsidR="00A87175" w:rsidRPr="00747C39" w:rsidRDefault="00A87175" w:rsidP="00747C39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t>Листа на помошни супстанц</w:t>
      </w:r>
      <w:r w:rsidR="001A717F">
        <w:rPr>
          <w:b/>
          <w:bCs/>
          <w:u w:val="single"/>
          <w:lang w:val="mk-MK"/>
        </w:rPr>
        <w:t>и</w:t>
      </w:r>
      <w:r>
        <w:rPr>
          <w:b/>
          <w:bCs/>
          <w:u w:val="single"/>
          <w:lang w:val="mk-MK"/>
        </w:rPr>
        <w:t>и</w:t>
      </w:r>
    </w:p>
    <w:p w:rsidR="00A87175" w:rsidRDefault="00A87175" w:rsidP="00747C39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Меки капсули:</w:t>
      </w:r>
    </w:p>
    <w:p w:rsidR="00A87175" w:rsidRDefault="00A87175" w:rsidP="00747C39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Миглиол 812, Натриум лаурилсулфат, Преципитирана силика.</w:t>
      </w:r>
    </w:p>
    <w:p w:rsidR="00A87175" w:rsidRDefault="00A87175" w:rsidP="00D968C0">
      <w:pPr>
        <w:spacing w:after="0"/>
        <w:jc w:val="left"/>
        <w:rPr>
          <w:lang w:val="mk-MK"/>
        </w:rPr>
      </w:pPr>
    </w:p>
    <w:p w:rsidR="00A87175" w:rsidRPr="00D968C0" w:rsidRDefault="00A87175" w:rsidP="00D968C0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t>Некомпатибилност</w:t>
      </w:r>
    </w:p>
    <w:p w:rsidR="00A87175" w:rsidRDefault="00876591" w:rsidP="00D968C0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Не е апликативно</w:t>
      </w:r>
      <w:r w:rsidR="00A87175">
        <w:rPr>
          <w:lang w:val="mk-MK"/>
        </w:rPr>
        <w:t>.</w:t>
      </w:r>
    </w:p>
    <w:p w:rsidR="00A87175" w:rsidRDefault="00A87175" w:rsidP="00D968C0">
      <w:pPr>
        <w:spacing w:after="0"/>
        <w:jc w:val="left"/>
        <w:rPr>
          <w:lang w:val="mk-MK"/>
        </w:rPr>
      </w:pPr>
    </w:p>
    <w:p w:rsidR="00A87175" w:rsidRPr="00D968C0" w:rsidRDefault="00A87175" w:rsidP="00D968C0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t>Рок на траење</w:t>
      </w:r>
    </w:p>
    <w:p w:rsidR="00A87175" w:rsidRDefault="00A87175" w:rsidP="00D968C0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3 години</w:t>
      </w:r>
    </w:p>
    <w:p w:rsidR="00A87175" w:rsidRDefault="00A87175" w:rsidP="00023558">
      <w:pPr>
        <w:spacing w:after="0"/>
        <w:jc w:val="left"/>
        <w:rPr>
          <w:lang w:val="mk-MK"/>
        </w:rPr>
      </w:pPr>
    </w:p>
    <w:p w:rsidR="00A87175" w:rsidRPr="00023558" w:rsidRDefault="00A87175" w:rsidP="00023558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mk-MK"/>
        </w:rPr>
      </w:pPr>
      <w:r>
        <w:rPr>
          <w:b/>
          <w:bCs/>
          <w:u w:val="single"/>
          <w:lang w:val="mk-MK"/>
        </w:rPr>
        <w:t>Посебни мерки за претпазливост при чување</w:t>
      </w:r>
    </w:p>
    <w:p w:rsidR="00A87175" w:rsidRDefault="00A87175" w:rsidP="00023558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Начин на чување:</w:t>
      </w:r>
    </w:p>
    <w:p w:rsidR="00A87175" w:rsidRDefault="00A87175" w:rsidP="00023558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 xml:space="preserve">250 </w:t>
      </w:r>
      <w:r w:rsidRPr="007D110C">
        <w:rPr>
          <w:lang w:val="en-US"/>
        </w:rPr>
        <w:t>LRU</w:t>
      </w:r>
      <w:r>
        <w:rPr>
          <w:lang w:val="mk-MK"/>
        </w:rPr>
        <w:t>Меки капсули: да се чува на температура под 30˚С.</w:t>
      </w:r>
    </w:p>
    <w:p w:rsidR="00A87175" w:rsidRDefault="00A87175" w:rsidP="00023558">
      <w:pPr>
        <w:spacing w:after="0"/>
        <w:jc w:val="left"/>
        <w:rPr>
          <w:lang w:val="mk-MK"/>
        </w:rPr>
      </w:pPr>
    </w:p>
    <w:p w:rsidR="00A87175" w:rsidRPr="00023558" w:rsidRDefault="00A87175" w:rsidP="00023558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en-US"/>
        </w:rPr>
      </w:pPr>
      <w:r>
        <w:rPr>
          <w:b/>
          <w:bCs/>
          <w:u w:val="single"/>
          <w:lang w:val="mk-MK"/>
        </w:rPr>
        <w:t>Состав и содржина на пакувањето</w:t>
      </w:r>
    </w:p>
    <w:p w:rsidR="00A87175" w:rsidRDefault="00A87175" w:rsidP="00023558">
      <w:pPr>
        <w:pStyle w:val="ListParagraph"/>
        <w:spacing w:after="0"/>
        <w:ind w:left="1080"/>
        <w:jc w:val="left"/>
        <w:rPr>
          <w:b/>
          <w:bCs/>
          <w:lang w:val="mk-MK"/>
        </w:rPr>
      </w:pPr>
      <w:r>
        <w:rPr>
          <w:b/>
          <w:bCs/>
          <w:lang w:val="mk-MK"/>
        </w:rPr>
        <w:t>Меки капсули</w:t>
      </w:r>
    </w:p>
    <w:p w:rsidR="00A87175" w:rsidRDefault="00A87175" w:rsidP="00023558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lastRenderedPageBreak/>
        <w:t>Блистер од алуминиум и ПВЦ со 50 меки капсули.</w:t>
      </w:r>
    </w:p>
    <w:p w:rsidR="00A87175" w:rsidRDefault="00A87175" w:rsidP="00023558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 xml:space="preserve">250 </w:t>
      </w:r>
      <w:r>
        <w:rPr>
          <w:lang w:val="en-US"/>
        </w:rPr>
        <w:t xml:space="preserve">LRU </w:t>
      </w:r>
      <w:r>
        <w:rPr>
          <w:lang w:val="mk-MK"/>
        </w:rPr>
        <w:t>Меки капсули – 50 Капсули</w:t>
      </w:r>
    </w:p>
    <w:p w:rsidR="00A87175" w:rsidRDefault="00A87175" w:rsidP="00023558">
      <w:pPr>
        <w:spacing w:after="0"/>
        <w:jc w:val="left"/>
        <w:rPr>
          <w:b/>
          <w:bCs/>
          <w:lang w:val="mk-MK"/>
        </w:rPr>
      </w:pPr>
    </w:p>
    <w:p w:rsidR="00A87175" w:rsidRPr="00023558" w:rsidRDefault="00871597" w:rsidP="00023558">
      <w:pPr>
        <w:pStyle w:val="ListParagraph"/>
        <w:numPr>
          <w:ilvl w:val="1"/>
          <w:numId w:val="1"/>
        </w:numPr>
        <w:spacing w:after="0"/>
        <w:jc w:val="left"/>
        <w:rPr>
          <w:b/>
          <w:bCs/>
          <w:lang w:val="en-US"/>
        </w:rPr>
      </w:pPr>
      <w:r>
        <w:rPr>
          <w:b/>
          <w:bCs/>
          <w:u w:val="single"/>
          <w:lang w:val="mk-MK"/>
        </w:rPr>
        <w:t>Упаство за употреба/ракување</w:t>
      </w:r>
    </w:p>
    <w:p w:rsidR="00A87175" w:rsidRDefault="00A87175" w:rsidP="00023558">
      <w:pPr>
        <w:pStyle w:val="ListParagraph"/>
        <w:spacing w:after="0"/>
        <w:ind w:left="1080"/>
        <w:jc w:val="left"/>
        <w:rPr>
          <w:lang w:val="mk-MK"/>
        </w:rPr>
      </w:pPr>
      <w:r>
        <w:rPr>
          <w:lang w:val="mk-MK"/>
        </w:rPr>
        <w:t>Неупотребените и вратените производи на лекот треба да се отстранат во согласност со пропишаните закони.</w:t>
      </w:r>
    </w:p>
    <w:p w:rsidR="00A87175" w:rsidRDefault="00A87175" w:rsidP="00023558">
      <w:pPr>
        <w:pStyle w:val="ListParagraph"/>
        <w:spacing w:after="0"/>
        <w:ind w:left="1080"/>
        <w:jc w:val="left"/>
        <w:rPr>
          <w:lang w:val="mk-MK"/>
        </w:rPr>
      </w:pPr>
    </w:p>
    <w:p w:rsidR="00A87175" w:rsidRDefault="00A87175">
      <w:pPr>
        <w:rPr>
          <w:lang w:val="mk-MK"/>
        </w:rPr>
      </w:pPr>
      <w:r>
        <w:rPr>
          <w:lang w:val="mk-MK"/>
        </w:rPr>
        <w:br w:type="page"/>
      </w:r>
    </w:p>
    <w:p w:rsidR="00A87175" w:rsidRPr="00975D67" w:rsidRDefault="00A87175" w:rsidP="00023558">
      <w:pPr>
        <w:pStyle w:val="ListParagraph"/>
        <w:numPr>
          <w:ilvl w:val="0"/>
          <w:numId w:val="1"/>
        </w:numPr>
        <w:spacing w:after="0"/>
        <w:ind w:left="1134" w:hanging="774"/>
        <w:jc w:val="left"/>
        <w:rPr>
          <w:lang w:val="en-US"/>
        </w:rPr>
      </w:pPr>
      <w:r>
        <w:rPr>
          <w:b/>
          <w:bCs/>
          <w:lang w:val="mk-MK"/>
        </w:rPr>
        <w:lastRenderedPageBreak/>
        <w:t>НОСИТЕЛ НА ОВЛАСТУВАЊЕТО ЗА ПУШТАЊЕ ВО ПРОМЕТ</w:t>
      </w:r>
    </w:p>
    <w:p w:rsidR="00A87175" w:rsidRPr="00975D67" w:rsidRDefault="003A23EF" w:rsidP="00247087">
      <w:pPr>
        <w:pStyle w:val="ListParagraph"/>
        <w:spacing w:after="0"/>
        <w:ind w:left="1134"/>
        <w:jc w:val="left"/>
        <w:rPr>
          <w:lang w:val="mk-MK"/>
        </w:rPr>
      </w:pPr>
      <w:r w:rsidRPr="003A23EF">
        <w:rPr>
          <w:lang w:val="mk-MK"/>
        </w:rPr>
        <w:t>ДПТУ Кемофармациа Ше ДООЕЛ импорт-експорт Тетово; ул. Андреја Стојановиќ бр. 9; 1200 Тетово, Македонија</w:t>
      </w:r>
    </w:p>
    <w:p w:rsidR="00A87175" w:rsidRDefault="00A87175" w:rsidP="00247087">
      <w:pPr>
        <w:spacing w:after="0"/>
        <w:jc w:val="left"/>
        <w:rPr>
          <w:b/>
          <w:bCs/>
          <w:lang w:val="en-US"/>
        </w:rPr>
      </w:pPr>
    </w:p>
    <w:p w:rsidR="00A87175" w:rsidRPr="0097488F" w:rsidRDefault="00A87175" w:rsidP="00247087">
      <w:pPr>
        <w:pStyle w:val="ListParagraph"/>
        <w:numPr>
          <w:ilvl w:val="0"/>
          <w:numId w:val="1"/>
        </w:numPr>
        <w:spacing w:after="0"/>
        <w:ind w:left="1134" w:hanging="774"/>
        <w:jc w:val="left"/>
        <w:rPr>
          <w:b/>
          <w:bCs/>
          <w:lang w:val="en-US"/>
        </w:rPr>
      </w:pPr>
      <w:r>
        <w:rPr>
          <w:b/>
          <w:bCs/>
          <w:lang w:val="mk-MK"/>
        </w:rPr>
        <w:t>БРОЕВИ НА ОВЛАСТУВАЊЕТО ЗА ПУШТАЊЕ ВО ПРОМЕТ</w:t>
      </w:r>
    </w:p>
    <w:p w:rsidR="00A87175" w:rsidRDefault="00A87175" w:rsidP="00247087">
      <w:pPr>
        <w:spacing w:after="0"/>
        <w:jc w:val="left"/>
        <w:rPr>
          <w:b/>
          <w:bCs/>
          <w:highlight w:val="yellow"/>
          <w:lang w:val="mk-MK"/>
        </w:rPr>
      </w:pPr>
    </w:p>
    <w:p w:rsidR="003A23EF" w:rsidRDefault="003A23EF" w:rsidP="00247087">
      <w:pPr>
        <w:spacing w:after="0"/>
        <w:jc w:val="left"/>
        <w:rPr>
          <w:b/>
          <w:bCs/>
          <w:highlight w:val="yellow"/>
          <w:lang w:val="mk-MK"/>
        </w:rPr>
      </w:pPr>
    </w:p>
    <w:p w:rsidR="00A87175" w:rsidRDefault="00A87175" w:rsidP="00247087">
      <w:pPr>
        <w:pStyle w:val="ListParagraph"/>
        <w:numPr>
          <w:ilvl w:val="0"/>
          <w:numId w:val="1"/>
        </w:numPr>
        <w:spacing w:after="0"/>
        <w:ind w:left="1134" w:hanging="774"/>
        <w:jc w:val="left"/>
        <w:rPr>
          <w:b/>
          <w:bCs/>
          <w:lang w:val="mk-MK"/>
        </w:rPr>
      </w:pPr>
      <w:r>
        <w:rPr>
          <w:b/>
          <w:bCs/>
          <w:lang w:val="mk-MK"/>
        </w:rPr>
        <w:t>ДАТУМ НА ПРВО ОВЛАСТУВАЊЕ/ ОБНОВУВАЊЕ НА ОВЛАСТУВАЊЕТО</w:t>
      </w:r>
    </w:p>
    <w:p w:rsidR="00A87175" w:rsidRDefault="00A87175" w:rsidP="00247087">
      <w:pPr>
        <w:spacing w:after="0"/>
        <w:jc w:val="left"/>
        <w:rPr>
          <w:b/>
          <w:bCs/>
          <w:lang w:val="mk-MK"/>
        </w:rPr>
      </w:pPr>
    </w:p>
    <w:p w:rsidR="00A87175" w:rsidRPr="0093337A" w:rsidRDefault="00A87175" w:rsidP="0093337A">
      <w:pPr>
        <w:pStyle w:val="ListParagraph"/>
        <w:numPr>
          <w:ilvl w:val="0"/>
          <w:numId w:val="1"/>
        </w:numPr>
        <w:spacing w:after="0"/>
        <w:ind w:left="1134" w:hanging="774"/>
        <w:jc w:val="left"/>
        <w:rPr>
          <w:b/>
          <w:bCs/>
          <w:lang w:val="mk-MK"/>
        </w:rPr>
      </w:pPr>
      <w:r>
        <w:rPr>
          <w:b/>
          <w:bCs/>
          <w:lang w:val="mk-MK"/>
        </w:rPr>
        <w:t>ДАТУМ НА РЕВИЗИЈА НА ТЕКСТОТ</w:t>
      </w:r>
    </w:p>
    <w:sectPr w:rsidR="00A87175" w:rsidRPr="0093337A" w:rsidSect="00107F1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B4D" w:rsidRDefault="008A7B4D" w:rsidP="00B704F2">
      <w:pPr>
        <w:spacing w:after="0" w:line="240" w:lineRule="auto"/>
      </w:pPr>
      <w:r>
        <w:separator/>
      </w:r>
    </w:p>
  </w:endnote>
  <w:endnote w:type="continuationSeparator" w:id="1">
    <w:p w:rsidR="008A7B4D" w:rsidRDefault="008A7B4D" w:rsidP="00B7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75" w:rsidRDefault="008F0237">
    <w:pPr>
      <w:pStyle w:val="Footer"/>
      <w:jc w:val="right"/>
    </w:pPr>
    <w:r>
      <w:fldChar w:fldCharType="begin"/>
    </w:r>
    <w:r w:rsidR="004642E8">
      <w:instrText xml:space="preserve"> PAGE   \* MERGEFORMAT </w:instrText>
    </w:r>
    <w:r>
      <w:fldChar w:fldCharType="separate"/>
    </w:r>
    <w:r w:rsidR="009E2DD7">
      <w:rPr>
        <w:noProof/>
      </w:rPr>
      <w:t>1</w:t>
    </w:r>
    <w:r>
      <w:rPr>
        <w:noProof/>
      </w:rPr>
      <w:fldChar w:fldCharType="end"/>
    </w:r>
  </w:p>
  <w:p w:rsidR="00A87175" w:rsidRDefault="00A871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B4D" w:rsidRDefault="008A7B4D" w:rsidP="00B704F2">
      <w:pPr>
        <w:spacing w:after="0" w:line="240" w:lineRule="auto"/>
      </w:pPr>
      <w:r>
        <w:separator/>
      </w:r>
    </w:p>
  </w:footnote>
  <w:footnote w:type="continuationSeparator" w:id="1">
    <w:p w:rsidR="008A7B4D" w:rsidRDefault="008A7B4D" w:rsidP="00B7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75" w:rsidRPr="00876591" w:rsidRDefault="00A87175" w:rsidP="00B704F2">
    <w:pPr>
      <w:pStyle w:val="Header"/>
      <w:jc w:val="right"/>
      <w:rPr>
        <w:rFonts w:ascii="Times New Roman" w:hAnsi="Times New Roman" w:cs="Times New Roman"/>
        <w:sz w:val="20"/>
        <w:szCs w:val="20"/>
        <w:lang w:val="mk-MK"/>
      </w:rPr>
    </w:pPr>
    <w:r w:rsidRPr="00B704F2">
      <w:rPr>
        <w:rFonts w:ascii="Times New Roman" w:hAnsi="Times New Roman" w:cs="Times New Roman"/>
        <w:sz w:val="20"/>
        <w:szCs w:val="20"/>
        <w:lang w:val="en-US"/>
      </w:rPr>
      <w:t>ANGIOFLUX</w:t>
    </w:r>
    <w:r w:rsidR="00876591">
      <w:rPr>
        <w:rFonts w:ascii="Times New Roman" w:hAnsi="Times New Roman" w:cs="Times New Roman"/>
        <w:sz w:val="20"/>
        <w:szCs w:val="20"/>
        <w:lang w:val="mk-MK"/>
      </w:rPr>
      <w:t>МЕКИ КАПСУЛИ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2684"/>
    <w:multiLevelType w:val="multilevel"/>
    <w:tmpl w:val="49409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664235"/>
    <w:multiLevelType w:val="hybridMultilevel"/>
    <w:tmpl w:val="443ABB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B4D6046"/>
    <w:multiLevelType w:val="multilevel"/>
    <w:tmpl w:val="49409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BF109DD"/>
    <w:multiLevelType w:val="multilevel"/>
    <w:tmpl w:val="49409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850F60"/>
    <w:multiLevelType w:val="hybridMultilevel"/>
    <w:tmpl w:val="025CC4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>
    <w:nsid w:val="506B67CD"/>
    <w:multiLevelType w:val="hybridMultilevel"/>
    <w:tmpl w:val="D180CDB2"/>
    <w:lvl w:ilvl="0" w:tplc="53B6C87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72A732FE"/>
    <w:multiLevelType w:val="multilevel"/>
    <w:tmpl w:val="49409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04F2"/>
    <w:rsid w:val="00012553"/>
    <w:rsid w:val="000213C8"/>
    <w:rsid w:val="00023558"/>
    <w:rsid w:val="00031E42"/>
    <w:rsid w:val="00035482"/>
    <w:rsid w:val="00041F75"/>
    <w:rsid w:val="00070580"/>
    <w:rsid w:val="00071181"/>
    <w:rsid w:val="00074A3C"/>
    <w:rsid w:val="00084D09"/>
    <w:rsid w:val="00087C37"/>
    <w:rsid w:val="000C1298"/>
    <w:rsid w:val="000C4452"/>
    <w:rsid w:val="000C64A7"/>
    <w:rsid w:val="000E6E49"/>
    <w:rsid w:val="00107F1E"/>
    <w:rsid w:val="00107FDC"/>
    <w:rsid w:val="00120698"/>
    <w:rsid w:val="001303D5"/>
    <w:rsid w:val="00193A67"/>
    <w:rsid w:val="00195751"/>
    <w:rsid w:val="001A717F"/>
    <w:rsid w:val="001D3100"/>
    <w:rsid w:val="00240965"/>
    <w:rsid w:val="00247087"/>
    <w:rsid w:val="002836BC"/>
    <w:rsid w:val="00297A56"/>
    <w:rsid w:val="002D2265"/>
    <w:rsid w:val="00313415"/>
    <w:rsid w:val="00314E1C"/>
    <w:rsid w:val="00336A4E"/>
    <w:rsid w:val="003565FE"/>
    <w:rsid w:val="00375110"/>
    <w:rsid w:val="00380A17"/>
    <w:rsid w:val="003937C0"/>
    <w:rsid w:val="003A23EF"/>
    <w:rsid w:val="003D35F3"/>
    <w:rsid w:val="00411619"/>
    <w:rsid w:val="004362FB"/>
    <w:rsid w:val="004642E8"/>
    <w:rsid w:val="0047012D"/>
    <w:rsid w:val="00480DCF"/>
    <w:rsid w:val="004C5F08"/>
    <w:rsid w:val="00502781"/>
    <w:rsid w:val="005041E7"/>
    <w:rsid w:val="00534974"/>
    <w:rsid w:val="00550C64"/>
    <w:rsid w:val="005B4E7B"/>
    <w:rsid w:val="005C1A8E"/>
    <w:rsid w:val="005D5D2D"/>
    <w:rsid w:val="00606F12"/>
    <w:rsid w:val="006226FD"/>
    <w:rsid w:val="00714E73"/>
    <w:rsid w:val="00740CF1"/>
    <w:rsid w:val="00747C39"/>
    <w:rsid w:val="00757AC2"/>
    <w:rsid w:val="007742E2"/>
    <w:rsid w:val="00777964"/>
    <w:rsid w:val="007A1AED"/>
    <w:rsid w:val="007A75D8"/>
    <w:rsid w:val="007C7E5C"/>
    <w:rsid w:val="007D110C"/>
    <w:rsid w:val="007D7309"/>
    <w:rsid w:val="007E7B8F"/>
    <w:rsid w:val="00814462"/>
    <w:rsid w:val="008320A7"/>
    <w:rsid w:val="00837857"/>
    <w:rsid w:val="0084374D"/>
    <w:rsid w:val="00871597"/>
    <w:rsid w:val="00876591"/>
    <w:rsid w:val="00885268"/>
    <w:rsid w:val="008A03F8"/>
    <w:rsid w:val="008A6E71"/>
    <w:rsid w:val="008A7B4D"/>
    <w:rsid w:val="008F0237"/>
    <w:rsid w:val="00902361"/>
    <w:rsid w:val="00906CFB"/>
    <w:rsid w:val="0093337A"/>
    <w:rsid w:val="0097488F"/>
    <w:rsid w:val="00975D67"/>
    <w:rsid w:val="009932FA"/>
    <w:rsid w:val="009A114A"/>
    <w:rsid w:val="009C1395"/>
    <w:rsid w:val="009E020E"/>
    <w:rsid w:val="009E2DD7"/>
    <w:rsid w:val="009E7C40"/>
    <w:rsid w:val="00A12A1A"/>
    <w:rsid w:val="00A479C4"/>
    <w:rsid w:val="00A83500"/>
    <w:rsid w:val="00A87175"/>
    <w:rsid w:val="00A94B58"/>
    <w:rsid w:val="00AB2BB7"/>
    <w:rsid w:val="00AD25E0"/>
    <w:rsid w:val="00AE2BAE"/>
    <w:rsid w:val="00AF087A"/>
    <w:rsid w:val="00B236CD"/>
    <w:rsid w:val="00B42547"/>
    <w:rsid w:val="00B62A6D"/>
    <w:rsid w:val="00B704F2"/>
    <w:rsid w:val="00B82706"/>
    <w:rsid w:val="00BB1BAF"/>
    <w:rsid w:val="00BC0AF4"/>
    <w:rsid w:val="00BD4405"/>
    <w:rsid w:val="00BF48B7"/>
    <w:rsid w:val="00C36B17"/>
    <w:rsid w:val="00C5226B"/>
    <w:rsid w:val="00C6389B"/>
    <w:rsid w:val="00CE2E95"/>
    <w:rsid w:val="00CF3401"/>
    <w:rsid w:val="00D17AB5"/>
    <w:rsid w:val="00D20BD3"/>
    <w:rsid w:val="00D21AA5"/>
    <w:rsid w:val="00D2256A"/>
    <w:rsid w:val="00D45B6C"/>
    <w:rsid w:val="00D968C0"/>
    <w:rsid w:val="00DA1561"/>
    <w:rsid w:val="00DB50EE"/>
    <w:rsid w:val="00DC70F5"/>
    <w:rsid w:val="00DE74E6"/>
    <w:rsid w:val="00DF3646"/>
    <w:rsid w:val="00E00FA9"/>
    <w:rsid w:val="00E60B4B"/>
    <w:rsid w:val="00E61636"/>
    <w:rsid w:val="00E66ED4"/>
    <w:rsid w:val="00E731B1"/>
    <w:rsid w:val="00E76880"/>
    <w:rsid w:val="00ED0258"/>
    <w:rsid w:val="00ED3A64"/>
    <w:rsid w:val="00ED62D7"/>
    <w:rsid w:val="00F530CA"/>
    <w:rsid w:val="00F861E8"/>
    <w:rsid w:val="00F92B51"/>
    <w:rsid w:val="00FD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1E"/>
    <w:pPr>
      <w:spacing w:after="200" w:line="276" w:lineRule="auto"/>
      <w:jc w:val="both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70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04F2"/>
  </w:style>
  <w:style w:type="paragraph" w:styleId="Footer">
    <w:name w:val="footer"/>
    <w:basedOn w:val="Normal"/>
    <w:link w:val="FooterChar"/>
    <w:uiPriority w:val="99"/>
    <w:rsid w:val="00B70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4F2"/>
  </w:style>
  <w:style w:type="paragraph" w:styleId="ListParagraph">
    <w:name w:val="List Paragraph"/>
    <w:basedOn w:val="Normal"/>
    <w:uiPriority w:val="99"/>
    <w:qFormat/>
    <w:rsid w:val="00107F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2F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1E"/>
    <w:pPr>
      <w:spacing w:after="200" w:line="276" w:lineRule="auto"/>
      <w:jc w:val="both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70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04F2"/>
  </w:style>
  <w:style w:type="paragraph" w:styleId="Footer">
    <w:name w:val="footer"/>
    <w:basedOn w:val="Normal"/>
    <w:link w:val="FooterChar"/>
    <w:uiPriority w:val="99"/>
    <w:rsid w:val="00B70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4F2"/>
  </w:style>
  <w:style w:type="paragraph" w:styleId="ListParagraph">
    <w:name w:val="List Paragraph"/>
    <w:basedOn w:val="Normal"/>
    <w:uiPriority w:val="99"/>
    <w:qFormat/>
    <w:rsid w:val="00107F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2F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Модул 1</vt:lpstr>
    </vt:vector>
  </TitlesOfParts>
  <Company>xxx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 1</dc:title>
  <dc:creator>Јасмина Јовановиќ</dc:creator>
  <cp:lastModifiedBy>User</cp:lastModifiedBy>
  <cp:revision>2</cp:revision>
  <cp:lastPrinted>2013-07-01T11:07:00Z</cp:lastPrinted>
  <dcterms:created xsi:type="dcterms:W3CDTF">2014-12-19T12:36:00Z</dcterms:created>
  <dcterms:modified xsi:type="dcterms:W3CDTF">2014-12-19T12:36:00Z</dcterms:modified>
</cp:coreProperties>
</file>